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2CC" w:rsidRPr="001C1C79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1C1C79"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479F8F6" wp14:editId="0650F2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02307D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1C79">
        <w:rPr>
          <w:rFonts w:ascii="Times New Roman" w:hAnsi="Times New Roman"/>
          <w:b/>
          <w:sz w:val="24"/>
          <w:szCs w:val="24"/>
        </w:rPr>
        <w:t>3GPP TSG-RAN</w:t>
      </w:r>
      <w:r w:rsidRPr="001C1C79">
        <w:rPr>
          <w:rFonts w:ascii="Times New Roman" w:hAnsi="Times New Roman"/>
          <w:sz w:val="24"/>
          <w:szCs w:val="24"/>
        </w:rPr>
        <w:t xml:space="preserve"> </w:t>
      </w:r>
      <w:r w:rsidRPr="001C1C79">
        <w:rPr>
          <w:rFonts w:ascii="Times New Roman" w:hAnsi="Times New Roman"/>
          <w:b/>
          <w:sz w:val="24"/>
          <w:szCs w:val="24"/>
        </w:rPr>
        <w:t xml:space="preserve">WG1 Meeting#106-e                                       </w:t>
      </w:r>
      <w:r w:rsidRPr="005A7A7F">
        <w:rPr>
          <w:rFonts w:ascii="Times New Roman" w:hAnsi="Times New Roman"/>
          <w:b/>
          <w:sz w:val="24"/>
          <w:szCs w:val="24"/>
          <w:lang w:val="en-US"/>
        </w:rPr>
        <w:t>R1-210</w:t>
      </w:r>
      <w:r w:rsidR="005A7A7F" w:rsidRPr="005A7A7F">
        <w:rPr>
          <w:rFonts w:ascii="Times New Roman" w:hAnsi="Times New Roman"/>
          <w:b/>
          <w:sz w:val="24"/>
          <w:szCs w:val="24"/>
          <w:lang w:val="en-US" w:eastAsia="ko-KR"/>
        </w:rPr>
        <w:t>6854</w:t>
      </w:r>
    </w:p>
    <w:p w:rsidR="001462CC" w:rsidRPr="001C1C79" w:rsidRDefault="001462CC" w:rsidP="001462CC">
      <w:pPr>
        <w:pStyle w:val="CRCoverPage"/>
        <w:tabs>
          <w:tab w:val="left" w:pos="8222"/>
          <w:tab w:val="right" w:pos="8640"/>
        </w:tabs>
        <w:ind w:right="1260"/>
        <w:rPr>
          <w:rFonts w:ascii="Times New Roman" w:hAnsi="Times New Roman"/>
          <w:b/>
          <w:sz w:val="24"/>
          <w:szCs w:val="24"/>
          <w:lang w:val="en-US"/>
        </w:rPr>
      </w:pPr>
      <w:r w:rsidRPr="001C1C79">
        <w:rPr>
          <w:rFonts w:ascii="Times New Roman" w:hAnsi="Times New Roman"/>
          <w:b/>
          <w:sz w:val="24"/>
          <w:szCs w:val="24"/>
          <w:lang w:eastAsia="zh-CN"/>
        </w:rPr>
        <w:t xml:space="preserve">E-meeting, </w:t>
      </w:r>
      <w:r w:rsidR="00305394" w:rsidRPr="001C1C79">
        <w:rPr>
          <w:rFonts w:ascii="Times New Roman" w:hAnsi="Times New Roman"/>
          <w:b/>
          <w:sz w:val="24"/>
          <w:szCs w:val="24"/>
        </w:rPr>
        <w:t>August 16</w:t>
      </w:r>
      <w:r w:rsidR="00305394" w:rsidRPr="001C1C79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305394" w:rsidRPr="001C1C79">
        <w:rPr>
          <w:rFonts w:ascii="Times New Roman" w:hAnsi="Times New Roman"/>
          <w:b/>
          <w:sz w:val="24"/>
          <w:szCs w:val="24"/>
        </w:rPr>
        <w:t xml:space="preserve"> – 27</w:t>
      </w:r>
      <w:r w:rsidR="00305394" w:rsidRPr="001C1C79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1C1C79">
        <w:rPr>
          <w:rFonts w:ascii="Times New Roman" w:hAnsi="Times New Roman"/>
          <w:b/>
          <w:sz w:val="24"/>
          <w:szCs w:val="24"/>
          <w:lang w:eastAsia="zh-CN"/>
        </w:rPr>
        <w:t>, 2021</w:t>
      </w:r>
    </w:p>
    <w:p w:rsidR="001462CC" w:rsidRPr="001C1C79" w:rsidRDefault="001462CC" w:rsidP="001462CC">
      <w:pPr>
        <w:rPr>
          <w:sz w:val="20"/>
          <w:szCs w:val="20"/>
          <w:lang w:eastAsia="zh-CN"/>
        </w:rPr>
      </w:pP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Title:</w:t>
      </w:r>
      <w:r w:rsidRPr="001C1C79">
        <w:rPr>
          <w:b/>
          <w:sz w:val="20"/>
          <w:szCs w:val="20"/>
        </w:rPr>
        <w:tab/>
      </w:r>
      <w:r w:rsidR="00F06915" w:rsidRPr="001C1C79">
        <w:rPr>
          <w:b/>
          <w:sz w:val="20"/>
          <w:szCs w:val="20"/>
        </w:rPr>
        <w:t xml:space="preserve">[Draft] </w:t>
      </w:r>
      <w:r w:rsidRPr="001C1C79">
        <w:rPr>
          <w:sz w:val="20"/>
          <w:szCs w:val="20"/>
        </w:rPr>
        <w:t>LS Reply</w:t>
      </w:r>
      <w:r w:rsidR="009B3317">
        <w:rPr>
          <w:sz w:val="20"/>
          <w:szCs w:val="20"/>
        </w:rPr>
        <w:t xml:space="preserve"> to RAN4</w:t>
      </w:r>
      <w:r w:rsidRPr="001C1C79">
        <w:rPr>
          <w:sz w:val="20"/>
          <w:szCs w:val="20"/>
        </w:rPr>
        <w:t xml:space="preserve"> on </w:t>
      </w:r>
      <w:r w:rsidRPr="001C1C79">
        <w:rPr>
          <w:bCs/>
          <w:sz w:val="20"/>
          <w:szCs w:val="20"/>
          <w:lang w:val="en-GB"/>
        </w:rPr>
        <w:t>TCI State Update for L1/L2-Centric Inter-Cell Mobility</w:t>
      </w:r>
    </w:p>
    <w:p w:rsidR="001462CC" w:rsidRPr="001C1C79" w:rsidRDefault="001462CC" w:rsidP="001462CC">
      <w:pPr>
        <w:spacing w:after="60"/>
        <w:ind w:left="1985" w:hanging="1985"/>
        <w:rPr>
          <w:bCs/>
          <w:sz w:val="20"/>
          <w:szCs w:val="20"/>
        </w:rPr>
      </w:pPr>
      <w:r w:rsidRPr="001C1C79">
        <w:rPr>
          <w:b/>
          <w:sz w:val="20"/>
          <w:szCs w:val="20"/>
        </w:rPr>
        <w:t>Response to:</w:t>
      </w:r>
      <w:r w:rsidRPr="001C1C79">
        <w:rPr>
          <w:bCs/>
          <w:sz w:val="20"/>
          <w:szCs w:val="20"/>
        </w:rPr>
        <w:tab/>
      </w:r>
      <w:r w:rsidRPr="005A7A7F">
        <w:rPr>
          <w:sz w:val="20"/>
          <w:szCs w:val="20"/>
        </w:rPr>
        <w:t>R1-210</w:t>
      </w:r>
      <w:r w:rsidR="005A7A7F" w:rsidRPr="005A7A7F">
        <w:rPr>
          <w:sz w:val="20"/>
          <w:szCs w:val="20"/>
        </w:rPr>
        <w:t>6426</w:t>
      </w:r>
      <w:r w:rsidRPr="001C1C79">
        <w:rPr>
          <w:sz w:val="20"/>
          <w:szCs w:val="20"/>
        </w:rPr>
        <w:t>/R</w:t>
      </w:r>
      <w:r w:rsidR="00271731">
        <w:rPr>
          <w:sz w:val="20"/>
          <w:szCs w:val="20"/>
        </w:rPr>
        <w:t>4</w:t>
      </w:r>
      <w:r w:rsidRPr="001C1C79">
        <w:rPr>
          <w:sz w:val="20"/>
          <w:szCs w:val="20"/>
        </w:rPr>
        <w:t>-210</w:t>
      </w:r>
      <w:r w:rsidR="00271731">
        <w:rPr>
          <w:sz w:val="20"/>
          <w:szCs w:val="20"/>
        </w:rPr>
        <w:t>8356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Release:</w:t>
      </w:r>
      <w:r w:rsidRPr="001C1C79">
        <w:rPr>
          <w:bCs/>
          <w:sz w:val="20"/>
          <w:szCs w:val="20"/>
        </w:rPr>
        <w:tab/>
        <w:t>Rel-17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Work Item:</w:t>
      </w:r>
      <w:r w:rsidRPr="001C1C79">
        <w:rPr>
          <w:bCs/>
          <w:sz w:val="20"/>
          <w:szCs w:val="20"/>
        </w:rPr>
        <w:tab/>
      </w:r>
      <w:r w:rsidRPr="001C1C79">
        <w:rPr>
          <w:bCs/>
          <w:sz w:val="20"/>
          <w:szCs w:val="20"/>
          <w:lang w:val="en-GB"/>
        </w:rPr>
        <w:t>NR_FeMIMO-Core</w:t>
      </w:r>
    </w:p>
    <w:p w:rsidR="001462CC" w:rsidRPr="001C1C79" w:rsidRDefault="001462CC" w:rsidP="001462CC">
      <w:pPr>
        <w:spacing w:after="60"/>
        <w:ind w:left="1985" w:hanging="1985"/>
        <w:rPr>
          <w:b/>
          <w:sz w:val="20"/>
          <w:szCs w:val="20"/>
        </w:rPr>
      </w:pP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</w:rPr>
      </w:pPr>
      <w:r w:rsidRPr="001C1C79">
        <w:rPr>
          <w:b/>
          <w:sz w:val="20"/>
          <w:szCs w:val="20"/>
        </w:rPr>
        <w:t>Source:</w:t>
      </w:r>
      <w:r w:rsidRPr="001C1C79">
        <w:rPr>
          <w:bCs/>
          <w:sz w:val="20"/>
          <w:szCs w:val="20"/>
        </w:rPr>
        <w:tab/>
        <w:t>RAN1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To:</w:t>
      </w:r>
      <w:r w:rsidRPr="001C1C79">
        <w:rPr>
          <w:bCs/>
          <w:sz w:val="20"/>
          <w:szCs w:val="20"/>
        </w:rPr>
        <w:tab/>
      </w:r>
      <w:r w:rsidRPr="001C1C79">
        <w:rPr>
          <w:rFonts w:eastAsia="SimSun"/>
          <w:bCs/>
          <w:sz w:val="20"/>
          <w:szCs w:val="20"/>
          <w:lang w:eastAsia="zh-CN"/>
        </w:rPr>
        <w:t>RAN2</w:t>
      </w:r>
    </w:p>
    <w:p w:rsidR="001462CC" w:rsidRPr="001C1C79" w:rsidRDefault="001462CC" w:rsidP="001462CC">
      <w:pPr>
        <w:spacing w:after="60"/>
        <w:ind w:left="1985" w:hanging="1985"/>
        <w:rPr>
          <w:rFonts w:eastAsia="SimSun"/>
          <w:bCs/>
          <w:sz w:val="20"/>
          <w:szCs w:val="20"/>
          <w:lang w:eastAsia="zh-CN"/>
        </w:rPr>
      </w:pPr>
      <w:r w:rsidRPr="001C1C79">
        <w:rPr>
          <w:b/>
          <w:sz w:val="20"/>
          <w:szCs w:val="20"/>
        </w:rPr>
        <w:t>Cc:</w:t>
      </w:r>
      <w:r w:rsidRPr="001C1C79">
        <w:rPr>
          <w:bCs/>
          <w:sz w:val="20"/>
          <w:szCs w:val="20"/>
        </w:rPr>
        <w:tab/>
        <w:t>RAN3, RAN4, RAN</w:t>
      </w:r>
    </w:p>
    <w:p w:rsidR="001462CC" w:rsidRPr="001C1C79" w:rsidRDefault="001462CC" w:rsidP="001462CC">
      <w:pPr>
        <w:spacing w:after="60"/>
        <w:ind w:left="1985" w:hanging="1985"/>
        <w:rPr>
          <w:bCs/>
          <w:sz w:val="20"/>
          <w:szCs w:val="20"/>
        </w:rPr>
      </w:pPr>
    </w:p>
    <w:p w:rsidR="001462CC" w:rsidRPr="001C1C79" w:rsidRDefault="001462CC" w:rsidP="001462CC">
      <w:pPr>
        <w:tabs>
          <w:tab w:val="left" w:pos="2268"/>
        </w:tabs>
        <w:rPr>
          <w:bCs/>
          <w:sz w:val="20"/>
          <w:szCs w:val="20"/>
        </w:rPr>
      </w:pPr>
      <w:r w:rsidRPr="001C1C79">
        <w:rPr>
          <w:b/>
          <w:sz w:val="20"/>
          <w:szCs w:val="20"/>
        </w:rPr>
        <w:t>Contact Person:</w:t>
      </w:r>
      <w:r w:rsidRPr="001C1C79">
        <w:rPr>
          <w:bCs/>
          <w:sz w:val="20"/>
          <w:szCs w:val="20"/>
        </w:rPr>
        <w:tab/>
      </w:r>
    </w:p>
    <w:p w:rsidR="001462CC" w:rsidRPr="001C1C79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1C1C79">
        <w:rPr>
          <w:b/>
          <w:sz w:val="20"/>
          <w:szCs w:val="20"/>
        </w:rPr>
        <w:t>Name:</w:t>
      </w:r>
      <w:r w:rsidRPr="001C1C79">
        <w:rPr>
          <w:b/>
          <w:sz w:val="20"/>
          <w:szCs w:val="20"/>
        </w:rPr>
        <w:tab/>
      </w:r>
      <w:proofErr w:type="spellStart"/>
      <w:r w:rsidRPr="001C1C79">
        <w:rPr>
          <w:sz w:val="20"/>
          <w:szCs w:val="20"/>
        </w:rPr>
        <w:t>Emad</w:t>
      </w:r>
      <w:proofErr w:type="spellEnd"/>
      <w:r w:rsidRPr="001C1C79">
        <w:rPr>
          <w:sz w:val="20"/>
          <w:szCs w:val="20"/>
        </w:rPr>
        <w:t xml:space="preserve"> </w:t>
      </w:r>
      <w:proofErr w:type="spellStart"/>
      <w:r w:rsidRPr="001C1C79">
        <w:rPr>
          <w:sz w:val="20"/>
          <w:szCs w:val="20"/>
        </w:rPr>
        <w:t>Farag</w:t>
      </w:r>
      <w:proofErr w:type="spellEnd"/>
    </w:p>
    <w:p w:rsidR="001462CC" w:rsidRPr="001C1C79" w:rsidRDefault="001462CC" w:rsidP="001462CC">
      <w:pPr>
        <w:spacing w:after="60"/>
        <w:ind w:left="2552" w:hanging="1985"/>
        <w:rPr>
          <w:b/>
          <w:sz w:val="20"/>
          <w:szCs w:val="20"/>
        </w:rPr>
      </w:pPr>
      <w:r w:rsidRPr="001C1C79">
        <w:rPr>
          <w:b/>
          <w:sz w:val="20"/>
          <w:szCs w:val="20"/>
        </w:rPr>
        <w:t>E-mail Address:</w:t>
      </w:r>
      <w:r w:rsidRPr="001C1C79">
        <w:rPr>
          <w:b/>
          <w:sz w:val="20"/>
          <w:szCs w:val="20"/>
        </w:rPr>
        <w:tab/>
      </w:r>
      <w:r w:rsidRPr="001C1C79">
        <w:rPr>
          <w:sz w:val="20"/>
          <w:szCs w:val="20"/>
        </w:rPr>
        <w:t>e.farag@samsung.com</w:t>
      </w:r>
    </w:p>
    <w:p w:rsidR="001C1C79" w:rsidRPr="00265DAD" w:rsidRDefault="001C1C79" w:rsidP="001C1C79"/>
    <w:p w:rsidR="001C1C79" w:rsidRPr="00FA0873" w:rsidRDefault="001C1C79" w:rsidP="001C1C79">
      <w:pPr>
        <w:pStyle w:val="Heading1"/>
        <w:rPr>
          <w:sz w:val="24"/>
          <w:szCs w:val="20"/>
        </w:rPr>
      </w:pPr>
      <w:r>
        <w:rPr>
          <w:sz w:val="24"/>
          <w:szCs w:val="20"/>
        </w:rPr>
        <w:t>Overall description</w:t>
      </w:r>
    </w:p>
    <w:p w:rsidR="009B3317" w:rsidRDefault="009B3317" w:rsidP="009B3317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would like to thank RAN2 for the reply LS on “</w:t>
      </w:r>
      <w:r w:rsidRPr="008D7BFC">
        <w:rPr>
          <w:iCs/>
          <w:color w:val="000000" w:themeColor="text1"/>
          <w:sz w:val="20"/>
          <w:szCs w:val="20"/>
        </w:rPr>
        <w:t>TCI State Update for L1/L2-Centric Inter-Cell Mobility</w:t>
      </w:r>
      <w:r>
        <w:rPr>
          <w:iCs/>
          <w:color w:val="000000" w:themeColor="text1"/>
          <w:sz w:val="20"/>
          <w:szCs w:val="20"/>
        </w:rPr>
        <w:t>”. In the reply LS, the following questions are raised:</w:t>
      </w:r>
    </w:p>
    <w:p w:rsidR="001C1C79" w:rsidRDefault="001C1C79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70C0"/>
          <w:sz w:val="20"/>
          <w:szCs w:val="20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648D17" wp14:editId="77858BB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12700" b="279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B3317" w:rsidRPr="009B3317" w:rsidRDefault="009B3317" w:rsidP="009B331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 w:rsidRPr="009B3317">
                              <w:rPr>
                                <w:b/>
                                <w:sz w:val="20"/>
                              </w:rPr>
                              <w:t>Q1</w:t>
                            </w:r>
                            <w:r>
                              <w:rPr>
                                <w:sz w:val="20"/>
                              </w:rPr>
                              <w:t xml:space="preserve">] </w:t>
                            </w:r>
                            <w:r w:rsidRPr="009B3317">
                              <w:rPr>
                                <w:sz w:val="20"/>
                              </w:rPr>
                              <w:t xml:space="preserve">It is RAN4 common understanding that for the intra-band CA scenario the primary serving cell and secondary serving cell(s) belong to the same frequency band, rather than the serving and non-serving cells belong to the same frequency band as described in the question. </w:t>
                            </w:r>
                            <w:proofErr w:type="gramStart"/>
                            <w:r w:rsidRPr="009B3317">
                              <w:rPr>
                                <w:sz w:val="20"/>
                              </w:rPr>
                              <w:t>Likewise</w:t>
                            </w:r>
                            <w:proofErr w:type="gramEnd"/>
                            <w:r w:rsidRPr="009B3317">
                              <w:rPr>
                                <w:sz w:val="20"/>
                              </w:rPr>
                              <w:t xml:space="preserve"> intra-band CA explanation, for inter-band CA case a serving cell and secondary serving cell(s) belong to different frequency bands rather than the serving and non-serving cells.</w:t>
                            </w:r>
                            <w:r w:rsidRPr="009B3317" w:rsidDel="00C1182E">
                              <w:rPr>
                                <w:sz w:val="20"/>
                              </w:rPr>
                              <w:t xml:space="preserve"> </w:t>
                            </w:r>
                            <w:r w:rsidRPr="009B3317">
                              <w:rPr>
                                <w:sz w:val="20"/>
                              </w:rPr>
                              <w:t>Can RAN1 please further clarify the intra-band/inter-band scenarios based on above RAN4 common understanding?</w:t>
                            </w:r>
                          </w:p>
                          <w:p w:rsidR="009B3317" w:rsidRPr="009B3317" w:rsidRDefault="009B3317" w:rsidP="009B331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[Q2] </w:t>
                            </w:r>
                            <w:r w:rsidRPr="009B3317">
                              <w:rPr>
                                <w:sz w:val="20"/>
                              </w:rPr>
                              <w:t xml:space="preserve">RAN4 would like RAN1 to clarify whether “the operation” in question 5 refers to only L1/L2-centric inter-cell mobility or both inter-cell mobility and inter-cell </w:t>
                            </w:r>
                            <w:proofErr w:type="spellStart"/>
                            <w:r w:rsidRPr="009B3317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9B3317">
                              <w:rPr>
                                <w:sz w:val="20"/>
                              </w:rPr>
                              <w:t xml:space="preserve"> operations. Does RAN4 need to consider inter-cell </w:t>
                            </w:r>
                            <w:proofErr w:type="spellStart"/>
                            <w:r w:rsidRPr="009B3317">
                              <w:rPr>
                                <w:sz w:val="20"/>
                              </w:rPr>
                              <w:t>mTRP</w:t>
                            </w:r>
                            <w:proofErr w:type="spellEnd"/>
                            <w:r w:rsidRPr="009B3317">
                              <w:rPr>
                                <w:sz w:val="20"/>
                              </w:rPr>
                              <w:t xml:space="preserve"> operation into the “CA scenario” of Question 5?</w:t>
                            </w:r>
                          </w:p>
                          <w:p w:rsidR="009B3317" w:rsidRPr="003941F4" w:rsidRDefault="009B3317" w:rsidP="003941F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[</w:t>
                            </w:r>
                            <w:r w:rsidRPr="009B3317">
                              <w:rPr>
                                <w:b/>
                                <w:sz w:val="20"/>
                              </w:rPr>
                              <w:t>Q3</w:t>
                            </w:r>
                            <w:r>
                              <w:rPr>
                                <w:sz w:val="20"/>
                              </w:rPr>
                              <w:t xml:space="preserve">] </w:t>
                            </w:r>
                            <w:r w:rsidRPr="009B3317">
                              <w:rPr>
                                <w:sz w:val="20"/>
                              </w:rPr>
                              <w:t xml:space="preserve">RAN4 also would like RAN1 and RAN2 to further clarify on the definition of non-serving cell especially whether UE shall support data/control channel reception and transmission from non-serving cell including simultaneous reception and transmission capabilities under CA scenarios.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648D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" fillcolor="#f2f2f2 [3052]" strokeweight=".5pt">
                <v:textbox style="mso-fit-shape-to-text:t">
                  <w:txbxContent>
                    <w:p w:rsidR="009B3317" w:rsidRPr="009B3317" w:rsidRDefault="009B3317" w:rsidP="009B331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 w:rsidRPr="009B3317">
                        <w:rPr>
                          <w:b/>
                          <w:sz w:val="20"/>
                        </w:rPr>
                        <w:t>Q1</w:t>
                      </w:r>
                      <w:r>
                        <w:rPr>
                          <w:sz w:val="20"/>
                        </w:rPr>
                        <w:t xml:space="preserve">] </w:t>
                      </w:r>
                      <w:r w:rsidRPr="009B3317">
                        <w:rPr>
                          <w:sz w:val="20"/>
                        </w:rPr>
                        <w:t xml:space="preserve">It is RAN4 common understanding that for the intra-band CA scenario the primary serving cell and secondary serving cell(s) belong to the same frequency band, rather than the serving and non-serving cells belong to the same frequency band as described in the question. </w:t>
                      </w:r>
                      <w:proofErr w:type="gramStart"/>
                      <w:r w:rsidRPr="009B3317">
                        <w:rPr>
                          <w:sz w:val="20"/>
                        </w:rPr>
                        <w:t>Likewise</w:t>
                      </w:r>
                      <w:proofErr w:type="gramEnd"/>
                      <w:r w:rsidRPr="009B3317">
                        <w:rPr>
                          <w:sz w:val="20"/>
                        </w:rPr>
                        <w:t xml:space="preserve"> intra-band CA explanation, for inter-band CA case a serving cell and secondary serving cell(s) belong to different frequency bands rather than the serving and non-serving cells.</w:t>
                      </w:r>
                      <w:r w:rsidRPr="009B3317" w:rsidDel="00C1182E">
                        <w:rPr>
                          <w:sz w:val="20"/>
                        </w:rPr>
                        <w:t xml:space="preserve"> </w:t>
                      </w:r>
                      <w:r w:rsidRPr="009B3317">
                        <w:rPr>
                          <w:sz w:val="20"/>
                        </w:rPr>
                        <w:t>Can RAN1 please further clarify the intra-band/inter-band scenarios based on above RAN4 common understanding?</w:t>
                      </w:r>
                    </w:p>
                    <w:p w:rsidR="009B3317" w:rsidRPr="009B3317" w:rsidRDefault="009B3317" w:rsidP="009B331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[Q2] </w:t>
                      </w:r>
                      <w:r w:rsidRPr="009B3317">
                        <w:rPr>
                          <w:sz w:val="20"/>
                        </w:rPr>
                        <w:t xml:space="preserve">RAN4 would like RAN1 to clarify whether “the operation” in question 5 refers to only L1/L2-centric inter-cell mobility or both inter-cell mobility and inter-cell </w:t>
                      </w:r>
                      <w:proofErr w:type="spellStart"/>
                      <w:r w:rsidRPr="009B3317">
                        <w:rPr>
                          <w:sz w:val="20"/>
                        </w:rPr>
                        <w:t>mTRP</w:t>
                      </w:r>
                      <w:proofErr w:type="spellEnd"/>
                      <w:r w:rsidRPr="009B3317">
                        <w:rPr>
                          <w:sz w:val="20"/>
                        </w:rPr>
                        <w:t xml:space="preserve"> operations. Does RAN4 need to consider inter-cell </w:t>
                      </w:r>
                      <w:proofErr w:type="spellStart"/>
                      <w:r w:rsidRPr="009B3317">
                        <w:rPr>
                          <w:sz w:val="20"/>
                        </w:rPr>
                        <w:t>mTRP</w:t>
                      </w:r>
                      <w:proofErr w:type="spellEnd"/>
                      <w:r w:rsidRPr="009B3317">
                        <w:rPr>
                          <w:sz w:val="20"/>
                        </w:rPr>
                        <w:t xml:space="preserve"> operation into the “CA scenario” of Question 5?</w:t>
                      </w:r>
                    </w:p>
                    <w:p w:rsidR="009B3317" w:rsidRPr="003941F4" w:rsidRDefault="009B3317" w:rsidP="003941F4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[</w:t>
                      </w:r>
                      <w:r w:rsidRPr="009B3317">
                        <w:rPr>
                          <w:b/>
                          <w:sz w:val="20"/>
                        </w:rPr>
                        <w:t>Q3</w:t>
                      </w:r>
                      <w:r>
                        <w:rPr>
                          <w:sz w:val="20"/>
                        </w:rPr>
                        <w:t xml:space="preserve">] </w:t>
                      </w:r>
                      <w:r w:rsidRPr="009B3317">
                        <w:rPr>
                          <w:sz w:val="20"/>
                        </w:rPr>
                        <w:t xml:space="preserve">RAN4 also would like RAN1 and RAN2 to further clarify on the definition of non-serving cell especially whether UE shall support data/control channel reception and transmission from non-serving cell including simultaneous reception and transmission capabilities under CA scenarios.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9B3317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RAN1 has discussed these questions and came to the following answer and conclusion:</w:t>
      </w:r>
    </w:p>
    <w:p w:rsidR="009B3317" w:rsidRDefault="009B3317" w:rsidP="001C1C79">
      <w:pPr>
        <w:rPr>
          <w:iCs/>
          <w:color w:val="0070C0"/>
          <w:sz w:val="20"/>
          <w:szCs w:val="20"/>
        </w:rPr>
      </w:pPr>
    </w:p>
    <w:p w:rsidR="009B3317" w:rsidRDefault="009B3317" w:rsidP="001C1C79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>Regarding Q1, i</w:t>
      </w:r>
      <w:r w:rsidRPr="009B3317">
        <w:rPr>
          <w:iCs/>
          <w:color w:val="000000" w:themeColor="text1"/>
          <w:sz w:val="20"/>
          <w:szCs w:val="20"/>
        </w:rPr>
        <w:t xml:space="preserve">t has been </w:t>
      </w:r>
      <w:r>
        <w:rPr>
          <w:iCs/>
          <w:color w:val="000000" w:themeColor="text1"/>
          <w:sz w:val="20"/>
          <w:szCs w:val="20"/>
        </w:rPr>
        <w:t>clarified in RAN#92</w:t>
      </w:r>
      <w:r w:rsidR="00341448">
        <w:rPr>
          <w:iCs/>
          <w:color w:val="000000" w:themeColor="text1"/>
          <w:sz w:val="20"/>
          <w:szCs w:val="20"/>
        </w:rPr>
        <w:t>-e</w:t>
      </w:r>
      <w:r>
        <w:rPr>
          <w:iCs/>
          <w:color w:val="000000" w:themeColor="text1"/>
          <w:sz w:val="20"/>
          <w:szCs w:val="20"/>
        </w:rPr>
        <w:t xml:space="preserve">, that inter-cell beam management shall consider intra-frequency cases [updated </w:t>
      </w:r>
      <w:proofErr w:type="spellStart"/>
      <w:r>
        <w:rPr>
          <w:iCs/>
          <w:color w:val="000000" w:themeColor="text1"/>
          <w:sz w:val="20"/>
          <w:szCs w:val="20"/>
        </w:rPr>
        <w:t>FeMIMO</w:t>
      </w:r>
      <w:proofErr w:type="spellEnd"/>
      <w:r>
        <w:rPr>
          <w:iCs/>
          <w:color w:val="000000" w:themeColor="text1"/>
          <w:sz w:val="20"/>
          <w:szCs w:val="20"/>
        </w:rPr>
        <w:t xml:space="preserve"> WID in RP-211586].</w:t>
      </w:r>
    </w:p>
    <w:p w:rsidR="009B3317" w:rsidRDefault="009B3317" w:rsidP="001C1C79">
      <w:pPr>
        <w:rPr>
          <w:iCs/>
          <w:color w:val="000000" w:themeColor="text1"/>
          <w:sz w:val="20"/>
          <w:szCs w:val="20"/>
        </w:rPr>
      </w:pPr>
    </w:p>
    <w:p w:rsidR="009B3317" w:rsidRDefault="009B3317" w:rsidP="001C1C79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t xml:space="preserve">Regarding Q2, </w:t>
      </w:r>
      <w:r w:rsidR="00E55DF9">
        <w:rPr>
          <w:iCs/>
          <w:color w:val="000000" w:themeColor="text1"/>
          <w:sz w:val="20"/>
          <w:szCs w:val="20"/>
        </w:rPr>
        <w:t>t</w:t>
      </w:r>
      <w:r w:rsidR="00E55DF9" w:rsidRPr="00E55DF9">
        <w:rPr>
          <w:iCs/>
          <w:color w:val="000000" w:themeColor="text1"/>
          <w:sz w:val="20"/>
          <w:szCs w:val="20"/>
        </w:rPr>
        <w:t xml:space="preserve">he focus of question 5 is what was previously understood as L1/L2-centric inter-cell mobility. </w:t>
      </w:r>
      <w:r w:rsidR="00E55DF9">
        <w:rPr>
          <w:iCs/>
          <w:color w:val="000000" w:themeColor="text1"/>
          <w:sz w:val="20"/>
          <w:szCs w:val="20"/>
        </w:rPr>
        <w:t>In RAN#</w:t>
      </w:r>
      <w:bookmarkStart w:id="0" w:name="_GoBack"/>
      <w:r w:rsidR="00E55DF9">
        <w:rPr>
          <w:iCs/>
          <w:color w:val="000000" w:themeColor="text1"/>
          <w:sz w:val="20"/>
          <w:szCs w:val="20"/>
        </w:rPr>
        <w:t>92</w:t>
      </w:r>
      <w:bookmarkEnd w:id="0"/>
      <w:r w:rsidR="00341448">
        <w:rPr>
          <w:iCs/>
          <w:color w:val="000000" w:themeColor="text1"/>
          <w:sz w:val="20"/>
          <w:szCs w:val="20"/>
        </w:rPr>
        <w:t>-e</w:t>
      </w:r>
      <w:r w:rsidR="00E55DF9">
        <w:rPr>
          <w:iCs/>
          <w:color w:val="000000" w:themeColor="text1"/>
          <w:sz w:val="20"/>
          <w:szCs w:val="20"/>
        </w:rPr>
        <w:t>, the scope of</w:t>
      </w:r>
      <w:r w:rsidR="00E55DF9" w:rsidRPr="00E55DF9">
        <w:rPr>
          <w:iCs/>
          <w:color w:val="000000" w:themeColor="text1"/>
          <w:sz w:val="20"/>
          <w:szCs w:val="20"/>
        </w:rPr>
        <w:t xml:space="preserve"> Rel-17 has been clarified to be “inter-cell beam management</w:t>
      </w:r>
      <w:r w:rsidR="00E55DF9">
        <w:rPr>
          <w:iCs/>
          <w:color w:val="000000" w:themeColor="text1"/>
          <w:sz w:val="20"/>
          <w:szCs w:val="20"/>
        </w:rPr>
        <w:t>,</w:t>
      </w:r>
      <w:r w:rsidR="00E55DF9" w:rsidRPr="00E55DF9">
        <w:rPr>
          <w:iCs/>
          <w:color w:val="000000" w:themeColor="text1"/>
          <w:sz w:val="20"/>
          <w:szCs w:val="20"/>
        </w:rPr>
        <w:t>”</w:t>
      </w:r>
      <w:r w:rsidR="00E55DF9">
        <w:rPr>
          <w:iCs/>
          <w:color w:val="000000" w:themeColor="text1"/>
          <w:sz w:val="20"/>
          <w:szCs w:val="20"/>
        </w:rPr>
        <w:t xml:space="preserve"> where,</w:t>
      </w:r>
      <w:r w:rsidR="00E55DF9" w:rsidRPr="00E55DF9">
        <w:rPr>
          <w:iCs/>
          <w:color w:val="000000" w:themeColor="text1"/>
          <w:sz w:val="20"/>
          <w:szCs w:val="20"/>
        </w:rPr>
        <w:t xml:space="preserve"> </w:t>
      </w:r>
      <w:r w:rsidR="00E55DF9">
        <w:rPr>
          <w:iCs/>
          <w:color w:val="000000" w:themeColor="text1"/>
          <w:sz w:val="20"/>
          <w:szCs w:val="20"/>
        </w:rPr>
        <w:t>“</w:t>
      </w:r>
      <w:r w:rsidR="00E55DF9" w:rsidRPr="00E55DF9">
        <w:rPr>
          <w:iCs/>
          <w:color w:val="000000" w:themeColor="text1"/>
          <w:sz w:val="20"/>
          <w:szCs w:val="20"/>
        </w:rPr>
        <w:t>a UE can transmit to or receive from only a single cell (i.e. serving cell does not change when beam selection is done)</w:t>
      </w:r>
      <w:r w:rsidR="00E55DF9">
        <w:rPr>
          <w:iCs/>
          <w:color w:val="000000" w:themeColor="text1"/>
          <w:sz w:val="20"/>
          <w:szCs w:val="20"/>
        </w:rPr>
        <w:t xml:space="preserve">” [updated </w:t>
      </w:r>
      <w:proofErr w:type="spellStart"/>
      <w:r w:rsidR="00E55DF9">
        <w:rPr>
          <w:iCs/>
          <w:color w:val="000000" w:themeColor="text1"/>
          <w:sz w:val="20"/>
          <w:szCs w:val="20"/>
        </w:rPr>
        <w:t>FeMIMO</w:t>
      </w:r>
      <w:proofErr w:type="spellEnd"/>
      <w:r w:rsidR="00E55DF9">
        <w:rPr>
          <w:iCs/>
          <w:color w:val="000000" w:themeColor="text1"/>
          <w:sz w:val="20"/>
          <w:szCs w:val="20"/>
        </w:rPr>
        <w:t xml:space="preserve"> WID in RP-211586]</w:t>
      </w:r>
      <w:r w:rsidR="00E55DF9" w:rsidRPr="00E55DF9">
        <w:rPr>
          <w:iCs/>
          <w:color w:val="000000" w:themeColor="text1"/>
          <w:sz w:val="20"/>
          <w:szCs w:val="20"/>
        </w:rPr>
        <w:t>.</w:t>
      </w:r>
    </w:p>
    <w:p w:rsidR="00E55DF9" w:rsidRDefault="00E55DF9" w:rsidP="001C1C79">
      <w:pPr>
        <w:rPr>
          <w:iCs/>
          <w:color w:val="000000" w:themeColor="text1"/>
          <w:sz w:val="20"/>
          <w:szCs w:val="20"/>
        </w:rPr>
      </w:pPr>
    </w:p>
    <w:p w:rsidR="00E55DF9" w:rsidRPr="009B3317" w:rsidRDefault="00E55DF9" w:rsidP="003259C9">
      <w:pPr>
        <w:rPr>
          <w:iCs/>
          <w:color w:val="000000" w:themeColor="text1"/>
          <w:sz w:val="20"/>
          <w:szCs w:val="20"/>
        </w:rPr>
      </w:pPr>
      <w:r>
        <w:rPr>
          <w:iCs/>
          <w:color w:val="000000" w:themeColor="text1"/>
          <w:sz w:val="20"/>
          <w:szCs w:val="20"/>
        </w:rPr>
        <w:lastRenderedPageBreak/>
        <w:t>Regarding Q3</w:t>
      </w:r>
      <w:r w:rsidR="003259C9">
        <w:rPr>
          <w:iCs/>
          <w:color w:val="000000" w:themeColor="text1"/>
          <w:sz w:val="20"/>
          <w:szCs w:val="20"/>
        </w:rPr>
        <w:t>, i</w:t>
      </w:r>
      <w:r w:rsidR="003259C9" w:rsidRPr="003259C9">
        <w:rPr>
          <w:iCs/>
          <w:color w:val="000000" w:themeColor="text1"/>
          <w:sz w:val="20"/>
          <w:szCs w:val="20"/>
        </w:rPr>
        <w:t>n the context of this LS, a "non-serving cell" is a neighboring cell</w:t>
      </w:r>
      <w:r w:rsidR="003259C9">
        <w:rPr>
          <w:iCs/>
          <w:color w:val="000000" w:themeColor="text1"/>
          <w:sz w:val="20"/>
          <w:szCs w:val="20"/>
        </w:rPr>
        <w:t xml:space="preserve"> with a PCI different from the current serving cell</w:t>
      </w:r>
      <w:r w:rsidR="003259C9" w:rsidRPr="003259C9">
        <w:rPr>
          <w:iCs/>
          <w:color w:val="000000" w:themeColor="text1"/>
          <w:sz w:val="20"/>
          <w:szCs w:val="20"/>
        </w:rPr>
        <w:t xml:space="preserve"> for which a link can be established for UE-specific chan</w:t>
      </w:r>
      <w:r w:rsidR="003259C9">
        <w:rPr>
          <w:iCs/>
          <w:color w:val="000000" w:themeColor="text1"/>
          <w:sz w:val="20"/>
          <w:szCs w:val="20"/>
        </w:rPr>
        <w:t xml:space="preserve">nel reception and transmission. </w:t>
      </w:r>
      <w:r w:rsidR="003259C9" w:rsidRPr="003259C9">
        <w:rPr>
          <w:iCs/>
          <w:color w:val="000000" w:themeColor="text1"/>
          <w:sz w:val="20"/>
          <w:szCs w:val="20"/>
        </w:rPr>
        <w:t xml:space="preserve">For </w:t>
      </w:r>
      <w:r w:rsidR="003259C9">
        <w:rPr>
          <w:iCs/>
          <w:color w:val="000000" w:themeColor="text1"/>
          <w:sz w:val="20"/>
          <w:szCs w:val="20"/>
        </w:rPr>
        <w:t>inter-cell beam management (based on the Rel-17 unified TCI-framework</w:t>
      </w:r>
      <w:r w:rsidR="00A245C7">
        <w:rPr>
          <w:iCs/>
          <w:color w:val="000000" w:themeColor="text1"/>
          <w:sz w:val="20"/>
          <w:szCs w:val="20"/>
        </w:rPr>
        <w:t>)</w:t>
      </w:r>
      <w:r w:rsidR="003259C9">
        <w:rPr>
          <w:iCs/>
          <w:color w:val="000000" w:themeColor="text1"/>
          <w:sz w:val="20"/>
          <w:szCs w:val="20"/>
        </w:rPr>
        <w:t>, a</w:t>
      </w:r>
      <w:r w:rsidR="003259C9" w:rsidRPr="003259C9">
        <w:rPr>
          <w:iCs/>
          <w:color w:val="000000" w:themeColor="text1"/>
          <w:sz w:val="20"/>
          <w:szCs w:val="20"/>
        </w:rPr>
        <w:t xml:space="preserve"> UE can communicate with either a serving cell or a neig</w:t>
      </w:r>
      <w:r w:rsidR="003259C9">
        <w:rPr>
          <w:iCs/>
          <w:color w:val="000000" w:themeColor="text1"/>
          <w:sz w:val="20"/>
          <w:szCs w:val="20"/>
        </w:rPr>
        <w:t>hboring</w:t>
      </w:r>
      <w:r w:rsidR="00A245C7">
        <w:rPr>
          <w:iCs/>
          <w:color w:val="000000" w:themeColor="text1"/>
          <w:sz w:val="20"/>
          <w:szCs w:val="20"/>
        </w:rPr>
        <w:t xml:space="preserve"> at a time</w:t>
      </w:r>
      <w:r w:rsidR="003259C9">
        <w:rPr>
          <w:iCs/>
          <w:color w:val="000000" w:themeColor="text1"/>
          <w:sz w:val="20"/>
          <w:szCs w:val="20"/>
        </w:rPr>
        <w:t xml:space="preserve">. </w:t>
      </w:r>
      <w:r w:rsidR="003259C9" w:rsidRPr="003259C9">
        <w:rPr>
          <w:iCs/>
          <w:color w:val="000000" w:themeColor="text1"/>
          <w:sz w:val="20"/>
          <w:szCs w:val="20"/>
        </w:rPr>
        <w:t xml:space="preserve">For inter-cell </w:t>
      </w:r>
      <w:proofErr w:type="spellStart"/>
      <w:r w:rsidR="003259C9" w:rsidRPr="003259C9">
        <w:rPr>
          <w:iCs/>
          <w:color w:val="000000" w:themeColor="text1"/>
          <w:sz w:val="20"/>
          <w:szCs w:val="20"/>
        </w:rPr>
        <w:t>mTRP</w:t>
      </w:r>
      <w:proofErr w:type="spellEnd"/>
      <w:r w:rsidR="003259C9" w:rsidRPr="003259C9">
        <w:rPr>
          <w:iCs/>
          <w:color w:val="000000" w:themeColor="text1"/>
          <w:sz w:val="20"/>
          <w:szCs w:val="20"/>
        </w:rPr>
        <w:t xml:space="preserve"> operation</w:t>
      </w:r>
      <w:r w:rsidR="003259C9">
        <w:rPr>
          <w:iCs/>
          <w:color w:val="000000" w:themeColor="text1"/>
          <w:sz w:val="20"/>
          <w:szCs w:val="20"/>
        </w:rPr>
        <w:t xml:space="preserve"> </w:t>
      </w:r>
      <w:r w:rsidR="00A245C7">
        <w:rPr>
          <w:iCs/>
          <w:color w:val="000000" w:themeColor="text1"/>
          <w:sz w:val="20"/>
          <w:szCs w:val="20"/>
        </w:rPr>
        <w:t>(</w:t>
      </w:r>
      <w:r w:rsidR="003259C9">
        <w:rPr>
          <w:iCs/>
          <w:color w:val="000000" w:themeColor="text1"/>
          <w:sz w:val="20"/>
          <w:szCs w:val="20"/>
        </w:rPr>
        <w:t>based on the Rel-15/Rel-16 TCI framework</w:t>
      </w:r>
      <w:r w:rsidR="00A245C7">
        <w:rPr>
          <w:iCs/>
          <w:color w:val="000000" w:themeColor="text1"/>
          <w:sz w:val="20"/>
          <w:szCs w:val="20"/>
        </w:rPr>
        <w:t>)</w:t>
      </w:r>
      <w:r w:rsidR="003259C9" w:rsidRPr="003259C9">
        <w:rPr>
          <w:iCs/>
          <w:color w:val="000000" w:themeColor="text1"/>
          <w:sz w:val="20"/>
          <w:szCs w:val="20"/>
        </w:rPr>
        <w:t xml:space="preserve"> a UE can </w:t>
      </w:r>
      <w:r w:rsidR="00A245C7">
        <w:rPr>
          <w:iCs/>
          <w:color w:val="000000" w:themeColor="text1"/>
          <w:sz w:val="20"/>
          <w:szCs w:val="20"/>
        </w:rPr>
        <w:t xml:space="preserve">simultaneously </w:t>
      </w:r>
      <w:r w:rsidR="003259C9">
        <w:rPr>
          <w:iCs/>
          <w:color w:val="000000" w:themeColor="text1"/>
          <w:sz w:val="20"/>
          <w:szCs w:val="20"/>
        </w:rPr>
        <w:t xml:space="preserve">communicate with more than </w:t>
      </w:r>
      <w:r w:rsidR="003259C9" w:rsidRPr="003259C9">
        <w:rPr>
          <w:iCs/>
          <w:color w:val="000000" w:themeColor="text1"/>
          <w:sz w:val="20"/>
          <w:szCs w:val="20"/>
        </w:rPr>
        <w:t>one cell.</w:t>
      </w:r>
    </w:p>
    <w:p w:rsidR="001C1C79" w:rsidRPr="00FA0873" w:rsidRDefault="001C1C79" w:rsidP="001C1C79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>Actions</w:t>
      </w:r>
    </w:p>
    <w:p w:rsidR="001C1C79" w:rsidRPr="00FA0873" w:rsidRDefault="001C1C79" w:rsidP="001C1C79">
      <w:pPr>
        <w:spacing w:after="120"/>
        <w:ind w:left="1985" w:hanging="1985"/>
        <w:rPr>
          <w:sz w:val="20"/>
          <w:szCs w:val="20"/>
        </w:rPr>
      </w:pPr>
      <w:r w:rsidRPr="00FA0873">
        <w:rPr>
          <w:sz w:val="20"/>
          <w:szCs w:val="20"/>
        </w:rPr>
        <w:t>To: RAN</w:t>
      </w:r>
      <w:r>
        <w:rPr>
          <w:sz w:val="20"/>
          <w:szCs w:val="20"/>
        </w:rPr>
        <w:t>4, RAN2 and RAN3</w:t>
      </w:r>
    </w:p>
    <w:p w:rsidR="001C1C79" w:rsidRPr="00FA0873" w:rsidRDefault="001C1C79" w:rsidP="001C1C79">
      <w:pPr>
        <w:spacing w:after="120"/>
        <w:ind w:left="993" w:hanging="993"/>
        <w:rPr>
          <w:sz w:val="20"/>
          <w:szCs w:val="20"/>
        </w:rPr>
      </w:pPr>
      <w:r w:rsidRPr="00FA0873">
        <w:rPr>
          <w:sz w:val="20"/>
          <w:szCs w:val="20"/>
        </w:rPr>
        <w:t xml:space="preserve">ACTION: </w:t>
      </w:r>
      <w:r w:rsidRPr="00FA0873">
        <w:rPr>
          <w:color w:val="0070C0"/>
          <w:sz w:val="20"/>
          <w:szCs w:val="20"/>
        </w:rPr>
        <w:tab/>
      </w:r>
      <w:r w:rsidRPr="00FA0873">
        <w:rPr>
          <w:sz w:val="20"/>
          <w:szCs w:val="20"/>
        </w:rPr>
        <w:t>RAN</w:t>
      </w:r>
      <w:r>
        <w:rPr>
          <w:sz w:val="20"/>
          <w:szCs w:val="20"/>
        </w:rPr>
        <w:t>1</w:t>
      </w:r>
      <w:r w:rsidRPr="00FA0873">
        <w:rPr>
          <w:sz w:val="20"/>
          <w:szCs w:val="20"/>
        </w:rPr>
        <w:t xml:space="preserve"> kindly asks </w:t>
      </w:r>
      <w:r>
        <w:rPr>
          <w:sz w:val="20"/>
          <w:szCs w:val="20"/>
        </w:rPr>
        <w:t>RAN4</w:t>
      </w:r>
      <w:r w:rsidRPr="00FA0873">
        <w:rPr>
          <w:sz w:val="20"/>
          <w:szCs w:val="20"/>
        </w:rPr>
        <w:t>, RAN2 and RAN</w:t>
      </w:r>
      <w:r>
        <w:rPr>
          <w:sz w:val="20"/>
          <w:szCs w:val="20"/>
        </w:rPr>
        <w:t>3</w:t>
      </w:r>
      <w:r w:rsidRPr="00FA0873">
        <w:rPr>
          <w:sz w:val="20"/>
          <w:szCs w:val="20"/>
        </w:rPr>
        <w:t xml:space="preserve"> to take the above into consideration</w:t>
      </w:r>
      <w:r>
        <w:rPr>
          <w:sz w:val="20"/>
          <w:szCs w:val="20"/>
        </w:rPr>
        <w:t>.</w:t>
      </w:r>
    </w:p>
    <w:p w:rsidR="001C1C79" w:rsidRPr="00FA0873" w:rsidRDefault="001C1C79" w:rsidP="001C1C79">
      <w:pPr>
        <w:pStyle w:val="Heading1"/>
        <w:rPr>
          <w:sz w:val="24"/>
          <w:szCs w:val="20"/>
        </w:rPr>
      </w:pPr>
      <w:r w:rsidRPr="00FA0873">
        <w:rPr>
          <w:sz w:val="24"/>
          <w:szCs w:val="20"/>
        </w:rPr>
        <w:t xml:space="preserve">Dates of next </w:t>
      </w:r>
      <w:r w:rsidRPr="00FA0873">
        <w:rPr>
          <w:bCs/>
          <w:sz w:val="24"/>
          <w:szCs w:val="20"/>
        </w:rPr>
        <w:t xml:space="preserve">TSG </w:t>
      </w:r>
      <w:r>
        <w:rPr>
          <w:sz w:val="24"/>
          <w:szCs w:val="20"/>
        </w:rPr>
        <w:t>WG1</w:t>
      </w:r>
      <w:r w:rsidRPr="00FA0873">
        <w:rPr>
          <w:sz w:val="24"/>
          <w:szCs w:val="20"/>
        </w:rPr>
        <w:t xml:space="preserve"> meetings</w:t>
      </w:r>
    </w:p>
    <w:p w:rsidR="001C1C79" w:rsidRPr="00FA0873" w:rsidRDefault="001C1C79" w:rsidP="001C1C79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106bis-e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October 11th –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1C1C79" w:rsidRPr="00FA0873" w:rsidRDefault="001C1C79" w:rsidP="001C1C79">
      <w:pPr>
        <w:tabs>
          <w:tab w:val="left" w:pos="5103"/>
        </w:tabs>
        <w:spacing w:after="120"/>
        <w:ind w:left="2268" w:hanging="2268"/>
        <w:rPr>
          <w:bCs/>
          <w:sz w:val="20"/>
          <w:szCs w:val="20"/>
          <w:lang w:val="it-IT"/>
        </w:rPr>
      </w:pPr>
      <w:r>
        <w:rPr>
          <w:bCs/>
          <w:sz w:val="20"/>
          <w:szCs w:val="20"/>
          <w:lang w:val="it-IT"/>
        </w:rPr>
        <w:t>RAN1</w:t>
      </w:r>
      <w:r w:rsidRPr="00FA0873">
        <w:rPr>
          <w:bCs/>
          <w:sz w:val="20"/>
          <w:szCs w:val="20"/>
          <w:lang w:val="it-IT"/>
        </w:rPr>
        <w:t>#</w:t>
      </w:r>
      <w:r>
        <w:rPr>
          <w:bCs/>
          <w:sz w:val="20"/>
          <w:szCs w:val="20"/>
          <w:lang w:val="it-IT"/>
        </w:rPr>
        <w:t>107-e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Novermber 11th – November 19th</w:t>
      </w:r>
      <w:r w:rsidRPr="00FA0873">
        <w:rPr>
          <w:bCs/>
          <w:sz w:val="20"/>
          <w:szCs w:val="20"/>
          <w:lang w:val="it-IT"/>
        </w:rPr>
        <w:t>, 2021</w:t>
      </w:r>
      <w:r w:rsidRPr="00FA0873">
        <w:rPr>
          <w:bCs/>
          <w:sz w:val="20"/>
          <w:szCs w:val="20"/>
          <w:lang w:val="it-IT"/>
        </w:rPr>
        <w:tab/>
      </w:r>
      <w:r>
        <w:rPr>
          <w:bCs/>
          <w:sz w:val="20"/>
          <w:szCs w:val="20"/>
          <w:lang w:val="it-IT"/>
        </w:rPr>
        <w:t>E-meeting</w:t>
      </w:r>
    </w:p>
    <w:p w:rsidR="001C1C79" w:rsidRPr="00FA0873" w:rsidRDefault="001C1C79" w:rsidP="001C1C79">
      <w:pPr>
        <w:rPr>
          <w:sz w:val="20"/>
          <w:szCs w:val="20"/>
        </w:rPr>
      </w:pPr>
    </w:p>
    <w:p w:rsidR="00AB141F" w:rsidRPr="001C1C79" w:rsidRDefault="00AB141F">
      <w:pPr>
        <w:rPr>
          <w:sz w:val="20"/>
          <w:szCs w:val="20"/>
        </w:rPr>
      </w:pPr>
    </w:p>
    <w:sectPr w:rsidR="00AB141F" w:rsidRPr="001C1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44"/>
    <w:rsid w:val="001462CC"/>
    <w:rsid w:val="001C1C79"/>
    <w:rsid w:val="00271731"/>
    <w:rsid w:val="00305394"/>
    <w:rsid w:val="003259C9"/>
    <w:rsid w:val="00341448"/>
    <w:rsid w:val="005A7A7F"/>
    <w:rsid w:val="00674044"/>
    <w:rsid w:val="009B3317"/>
    <w:rsid w:val="00A245C7"/>
    <w:rsid w:val="00AB141F"/>
    <w:rsid w:val="00C8116A"/>
    <w:rsid w:val="00CB6C1D"/>
    <w:rsid w:val="00E55DF9"/>
    <w:rsid w:val="00F0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ADB50"/>
  <w15:chartTrackingRefBased/>
  <w15:docId w15:val="{FD718381-00AD-4D80-A399-ADD6E519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2C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1462C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462C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462C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462C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462C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462C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462C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462C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62C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462CC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1462CC"/>
    <w:rPr>
      <w:rFonts w:ascii="Times New Roman" w:eastAsia="Malgun Gothic" w:hAnsi="Times New Roman" w:cs="Times New Roman"/>
      <w:sz w:val="32"/>
      <w:szCs w:val="32"/>
      <w:lang w:eastAsia="zh-CN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1462CC"/>
    <w:rPr>
      <w:rFonts w:ascii="Times New Roman" w:eastAsia="Malgun Gothic" w:hAnsi="Times New Roman" w:cs="Times New Roman"/>
      <w:sz w:val="28"/>
      <w:szCs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462CC"/>
    <w:rPr>
      <w:rFonts w:ascii="Times New Roman" w:eastAsia="Malgun Gothic" w:hAnsi="Times New Roman" w:cs="Times New Roman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1462CC"/>
    <w:rPr>
      <w:rFonts w:ascii="Times New Roman" w:eastAsia="Malgun Gothic" w:hAnsi="Times New Roman" w:cs="Times New Roman"/>
      <w:lang w:eastAsia="zh-CN"/>
    </w:rPr>
  </w:style>
  <w:style w:type="character" w:customStyle="1" w:styleId="Heading6Char">
    <w:name w:val="Heading 6 Char"/>
    <w:basedOn w:val="DefaultParagraphFont"/>
    <w:link w:val="Heading6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7Char">
    <w:name w:val="Heading 7 Char"/>
    <w:basedOn w:val="DefaultParagraphFont"/>
    <w:link w:val="Heading7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8Char">
    <w:name w:val="Heading 8 Char"/>
    <w:basedOn w:val="DefaultParagraphFont"/>
    <w:link w:val="Heading8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character" w:customStyle="1" w:styleId="Heading9Char">
    <w:name w:val="Heading 9 Char"/>
    <w:basedOn w:val="DefaultParagraphFont"/>
    <w:link w:val="Heading9"/>
    <w:rsid w:val="001462CC"/>
    <w:rPr>
      <w:rFonts w:ascii="Times New Roman" w:eastAsia="Malgun Gothic" w:hAnsi="Times New Roman" w:cs="Arial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1462C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462CC"/>
    <w:rPr>
      <w:rFonts w:ascii="Arial" w:eastAsia="Malgun Gothic" w:hAnsi="Arial" w:cs="Times New Roman"/>
      <w:sz w:val="20"/>
      <w:szCs w:val="20"/>
      <w:lang w:val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9B3317"/>
    <w:pPr>
      <w:overflowPunct w:val="0"/>
      <w:autoSpaceDE w:val="0"/>
      <w:autoSpaceDN w:val="0"/>
      <w:adjustRightInd w:val="0"/>
      <w:spacing w:after="120" w:line="288" w:lineRule="auto"/>
      <w:ind w:left="720"/>
      <w:contextualSpacing/>
      <w:jc w:val="both"/>
      <w:textAlignment w:val="baseline"/>
    </w:pPr>
    <w:rPr>
      <w:rFonts w:eastAsia="SimSun"/>
      <w:sz w:val="22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4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448"/>
    <w:rPr>
      <w:rFonts w:ascii="Segoe UI" w:eastAsia="Malgun Gothic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</dc:creator>
  <cp:keywords/>
  <dc:description/>
  <cp:lastModifiedBy>Emad</cp:lastModifiedBy>
  <cp:revision>12</cp:revision>
  <dcterms:created xsi:type="dcterms:W3CDTF">2021-07-28T17:28:00Z</dcterms:created>
  <dcterms:modified xsi:type="dcterms:W3CDTF">2021-08-05T20:43:00Z</dcterms:modified>
</cp:coreProperties>
</file>